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17222">
      <w:pPr>
        <w:pStyle w:val="2"/>
        <w:rPr>
          <w:rFonts w:hint="eastAsia" w:ascii="仿宋_GB2312" w:hAnsi="仿宋_GB2312" w:eastAsia="仿宋_GB2312" w:cs="仿宋_GB2312"/>
          <w:sz w:val="28"/>
          <w:szCs w:val="18"/>
          <w:lang w:eastAsia="zh-CN"/>
        </w:rPr>
      </w:pPr>
    </w:p>
    <w:p w14:paraId="628966D5">
      <w:pPr>
        <w:widowControl/>
        <w:spacing w:line="240" w:lineRule="auto"/>
        <w:jc w:val="left"/>
        <w:textAlignment w:val="center"/>
        <w:rPr>
          <w:rFonts w:hint="eastAsia" w:ascii="仿宋_GB2312" w:hAnsi="宋体" w:eastAsia="仿宋_GB2312" w:cs="Tahoma"/>
          <w:color w:val="000000"/>
          <w:kern w:val="0"/>
          <w:sz w:val="24"/>
          <w:szCs w:val="22"/>
          <w:lang w:val="en-US" w:eastAsia="zh-CN"/>
        </w:rPr>
      </w:pPr>
      <w:r>
        <w:rPr>
          <w:rFonts w:hint="eastAsia" w:ascii="仿宋_GB2312" w:hAnsi="宋体" w:eastAsia="仿宋_GB2312" w:cs="Tahoma"/>
          <w:color w:val="000000"/>
          <w:kern w:val="0"/>
          <w:sz w:val="24"/>
          <w:szCs w:val="22"/>
          <w:lang w:val="en-US" w:eastAsia="zh-CN"/>
        </w:rPr>
        <w:t>附件一：</w:t>
      </w:r>
    </w:p>
    <w:p w14:paraId="659175CE">
      <w:pPr>
        <w:widowControl/>
        <w:spacing w:line="240" w:lineRule="auto"/>
        <w:jc w:val="center"/>
        <w:textAlignment w:val="center"/>
        <w:rPr>
          <w:rFonts w:hint="eastAsia" w:ascii="仿宋_GB2312" w:hAnsi="宋体" w:eastAsia="仿宋_GB2312" w:cs="Tahoma"/>
          <w:color w:val="000000"/>
          <w:kern w:val="0"/>
          <w:sz w:val="28"/>
          <w:szCs w:val="24"/>
          <w:lang w:val="en-US" w:eastAsia="zh-CN"/>
        </w:rPr>
      </w:pPr>
      <w:r>
        <w:rPr>
          <w:rFonts w:hint="eastAsia" w:ascii="仿宋_GB2312" w:hAnsi="宋体" w:eastAsia="仿宋_GB2312" w:cs="Tahoma"/>
          <w:color w:val="000000"/>
          <w:kern w:val="0"/>
          <w:sz w:val="28"/>
          <w:szCs w:val="24"/>
          <w:lang w:val="en-US" w:eastAsia="zh-CN"/>
        </w:rPr>
        <w:t>“浙师人工智能素养提升计划”课程模块与学时表</w:t>
      </w:r>
    </w:p>
    <w:tbl>
      <w:tblPr>
        <w:tblStyle w:val="3"/>
        <w:tblW w:w="10460" w:type="dxa"/>
        <w:tblInd w:w="-8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1971"/>
        <w:gridCol w:w="1105"/>
        <w:gridCol w:w="2059"/>
        <w:gridCol w:w="1732"/>
        <w:gridCol w:w="1779"/>
      </w:tblGrid>
      <w:tr w14:paraId="0C073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4E90E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  <w:t>培训模块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442C0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  <w:t>课程名称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DEC0D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  <w:t>主讲专家/分享嘉宾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0F836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  <w:t>时间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C29EA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  <w:t>地点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E5F70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  <w:t>考核要求（不少于16学时）</w:t>
            </w:r>
          </w:p>
        </w:tc>
      </w:tr>
      <w:tr w14:paraId="7B877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BA493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校本资源</w:t>
            </w:r>
          </w:p>
          <w:p w14:paraId="5B5CA756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共16学时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（线上线下混合式培训）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ADEE15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讲座：人工智能的思考与智能体的实践与应用（计4学时）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62A11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徐建鹏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CF0BB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2025年6月16日</w:t>
            </w:r>
          </w:p>
          <w:p w14:paraId="5C488CB4">
            <w:pPr>
              <w:widowControl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上午10：00-12：00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77740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行政中心报告厅</w:t>
            </w:r>
          </w:p>
        </w:tc>
        <w:tc>
          <w:tcPr>
            <w:tcW w:w="1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94C12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≥8学时</w:t>
            </w:r>
          </w:p>
        </w:tc>
      </w:tr>
      <w:tr w14:paraId="109C4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90247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91494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工作坊：AI赋能的科研全流程优化</w:t>
            </w:r>
          </w:p>
          <w:p w14:paraId="5241ABCD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（计4学时）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321BD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何文涛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31F0E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2025年6月16日</w:t>
            </w:r>
          </w:p>
          <w:p w14:paraId="2AE6F6FA">
            <w:pPr>
              <w:widowControl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下午15：00-17：00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1BF34">
            <w:pPr>
              <w:widowControl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图文信息中心三楼329多功能会议室</w:t>
            </w:r>
          </w:p>
        </w:tc>
        <w:tc>
          <w:tcPr>
            <w:tcW w:w="1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E5C17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</w:tr>
      <w:tr w14:paraId="39FAB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8F6B7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68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D0992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另行通知</w:t>
            </w:r>
          </w:p>
        </w:tc>
        <w:tc>
          <w:tcPr>
            <w:tcW w:w="1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13B95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</w:tr>
      <w:tr w14:paraId="168A8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25199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68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09FC5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另行通知</w:t>
            </w:r>
          </w:p>
        </w:tc>
        <w:tc>
          <w:tcPr>
            <w:tcW w:w="1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E6628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</w:tr>
      <w:tr w14:paraId="197D0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FB8FD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在线资源</w:t>
            </w:r>
          </w:p>
          <w:p w14:paraId="59574F0B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共12个学时</w:t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（线上培训）</w:t>
            </w:r>
          </w:p>
        </w:tc>
        <w:tc>
          <w:tcPr>
            <w:tcW w:w="68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EBB11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在线资源课程信息班级内自动更新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A66EB">
            <w:pPr>
              <w:widowControl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Tahoma"/>
                <w:color w:val="000000"/>
                <w:kern w:val="0"/>
                <w:sz w:val="24"/>
                <w:szCs w:val="22"/>
                <w:lang w:val="en-US" w:eastAsia="zh-CN"/>
              </w:rPr>
              <w:t>≥8学时</w:t>
            </w:r>
          </w:p>
        </w:tc>
      </w:tr>
    </w:tbl>
    <w:p w14:paraId="4F3B616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93624"/>
    <w:rsid w:val="0D342CC2"/>
    <w:rsid w:val="1B975184"/>
    <w:rsid w:val="6399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